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3D7" w:rsidRDefault="00156F42" w:rsidP="006C13FD">
      <w:pPr>
        <w:tabs>
          <w:tab w:val="left" w:pos="8080"/>
        </w:tabs>
        <w:spacing w:after="0" w:line="360" w:lineRule="auto"/>
        <w:ind w:right="-1" w:firstLine="4678"/>
        <w:jc w:val="right"/>
        <w:rPr>
          <w:rFonts w:ascii="Times New Roman" w:hAnsi="Times New Roman" w:cs="Times New Roman"/>
          <w:sz w:val="16"/>
          <w:szCs w:val="16"/>
        </w:rPr>
      </w:pPr>
      <w:r w:rsidRPr="00532AC2">
        <w:rPr>
          <w:rFonts w:ascii="Times New Roman" w:hAnsi="Times New Roman" w:cs="Times New Roman"/>
          <w:sz w:val="16"/>
          <w:szCs w:val="16"/>
        </w:rPr>
        <w:t xml:space="preserve">Dictamen que se emite respecto </w:t>
      </w:r>
      <w:r w:rsidR="00532AC2">
        <w:rPr>
          <w:rFonts w:ascii="Times New Roman" w:hAnsi="Times New Roman" w:cs="Times New Roman"/>
          <w:sz w:val="16"/>
          <w:szCs w:val="16"/>
        </w:rPr>
        <w:t>d</w:t>
      </w:r>
      <w:r w:rsidR="003453D7">
        <w:rPr>
          <w:rFonts w:ascii="Times New Roman" w:hAnsi="Times New Roman" w:cs="Times New Roman"/>
          <w:sz w:val="16"/>
          <w:szCs w:val="16"/>
        </w:rPr>
        <w:t xml:space="preserve">e la presentación efectuada por los Secretarios de Primera Instancia </w:t>
      </w:r>
    </w:p>
    <w:p w:rsidR="00EE49D5" w:rsidRDefault="003453D7" w:rsidP="003453D7">
      <w:pPr>
        <w:tabs>
          <w:tab w:val="left" w:pos="8080"/>
        </w:tabs>
        <w:spacing w:after="0" w:line="360" w:lineRule="auto"/>
        <w:ind w:right="-1" w:firstLine="4678"/>
        <w:jc w:val="right"/>
        <w:rPr>
          <w:rFonts w:ascii="Times New Roman" w:hAnsi="Times New Roman" w:cs="Times New Roman"/>
          <w:sz w:val="16"/>
          <w:szCs w:val="16"/>
        </w:rPr>
      </w:pPr>
      <w:r>
        <w:rPr>
          <w:rFonts w:ascii="Times New Roman" w:hAnsi="Times New Roman" w:cs="Times New Roman"/>
          <w:sz w:val="16"/>
          <w:szCs w:val="16"/>
        </w:rPr>
        <w:t xml:space="preserve">del Fuero Penal, Contravencional y de Faltas de la </w:t>
      </w:r>
    </w:p>
    <w:p w:rsidR="006C13FD" w:rsidRPr="00532AC2" w:rsidRDefault="00156F42" w:rsidP="003453D7">
      <w:pPr>
        <w:tabs>
          <w:tab w:val="left" w:pos="8080"/>
        </w:tabs>
        <w:spacing w:after="0" w:line="360" w:lineRule="auto"/>
        <w:ind w:right="-1" w:firstLine="4678"/>
        <w:jc w:val="right"/>
        <w:rPr>
          <w:rFonts w:ascii="Times New Roman" w:hAnsi="Times New Roman" w:cs="Times New Roman"/>
          <w:sz w:val="16"/>
          <w:szCs w:val="16"/>
        </w:rPr>
      </w:pPr>
      <w:r w:rsidRPr="00532AC2">
        <w:rPr>
          <w:rFonts w:ascii="Times New Roman" w:hAnsi="Times New Roman" w:cs="Times New Roman"/>
          <w:sz w:val="16"/>
          <w:szCs w:val="16"/>
        </w:rPr>
        <w:t xml:space="preserve">de </w:t>
      </w:r>
      <w:r w:rsidR="006C13FD" w:rsidRPr="00532AC2">
        <w:rPr>
          <w:rFonts w:ascii="Times New Roman" w:hAnsi="Times New Roman" w:cs="Times New Roman"/>
          <w:sz w:val="16"/>
          <w:szCs w:val="16"/>
        </w:rPr>
        <w:t>la C</w:t>
      </w:r>
      <w:r w:rsidR="003453D7">
        <w:rPr>
          <w:rFonts w:ascii="Times New Roman" w:hAnsi="Times New Roman" w:cs="Times New Roman"/>
          <w:sz w:val="16"/>
          <w:szCs w:val="16"/>
        </w:rPr>
        <w:t xml:space="preserve">iudad Autónoma de Buenos Aires, </w:t>
      </w:r>
    </w:p>
    <w:p w:rsidR="00C1195E" w:rsidRDefault="00C1195E" w:rsidP="001176A0">
      <w:pPr>
        <w:spacing w:after="0" w:line="360" w:lineRule="auto"/>
        <w:ind w:firstLine="3969"/>
        <w:jc w:val="both"/>
        <w:rPr>
          <w:rFonts w:ascii="Times New Roman" w:hAnsi="Times New Roman" w:cs="Times New Roman"/>
          <w:sz w:val="24"/>
          <w:szCs w:val="24"/>
        </w:rPr>
      </w:pPr>
    </w:p>
    <w:p w:rsidR="003453D7" w:rsidRDefault="000C1526" w:rsidP="00EE49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la </w:t>
      </w:r>
      <w:r w:rsidR="00E41121">
        <w:rPr>
          <w:rFonts w:ascii="Times New Roman" w:hAnsi="Times New Roman" w:cs="Times New Roman"/>
          <w:sz w:val="24"/>
          <w:szCs w:val="24"/>
        </w:rPr>
        <w:t>S</w:t>
      </w:r>
      <w:r w:rsidR="006A48B5">
        <w:rPr>
          <w:rFonts w:ascii="Times New Roman" w:hAnsi="Times New Roman" w:cs="Times New Roman"/>
          <w:sz w:val="24"/>
          <w:szCs w:val="24"/>
        </w:rPr>
        <w:t>r</w:t>
      </w:r>
      <w:r w:rsidR="003453D7">
        <w:rPr>
          <w:rFonts w:ascii="Times New Roman" w:hAnsi="Times New Roman" w:cs="Times New Roman"/>
          <w:sz w:val="24"/>
          <w:szCs w:val="24"/>
        </w:rPr>
        <w:t>a</w:t>
      </w:r>
      <w:r w:rsidR="006A48B5">
        <w:rPr>
          <w:rFonts w:ascii="Times New Roman" w:hAnsi="Times New Roman" w:cs="Times New Roman"/>
          <w:sz w:val="24"/>
          <w:szCs w:val="24"/>
        </w:rPr>
        <w:t xml:space="preserve">. </w:t>
      </w:r>
      <w:r w:rsidR="003453D7">
        <w:rPr>
          <w:rFonts w:ascii="Times New Roman" w:hAnsi="Times New Roman" w:cs="Times New Roman"/>
          <w:sz w:val="24"/>
          <w:szCs w:val="24"/>
        </w:rPr>
        <w:t>Presidente del</w:t>
      </w:r>
    </w:p>
    <w:p w:rsidR="003453D7" w:rsidRDefault="003453D7" w:rsidP="00EE49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Colegio de Magistrados,</w:t>
      </w:r>
    </w:p>
    <w:p w:rsidR="003453D7" w:rsidRDefault="003453D7" w:rsidP="00EE49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Integrantes del Ministerio Público</w:t>
      </w:r>
    </w:p>
    <w:p w:rsidR="003453D7" w:rsidRDefault="003453D7" w:rsidP="00EE49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Y Funcionarios del Poder Judicial</w:t>
      </w:r>
    </w:p>
    <w:p w:rsidR="003453D7" w:rsidRDefault="003453D7" w:rsidP="00EE49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  la  C.A.B.A</w:t>
      </w:r>
    </w:p>
    <w:p w:rsidR="003453D7" w:rsidRDefault="003453D7" w:rsidP="00EE49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Dra. Marcela Paz</w:t>
      </w:r>
    </w:p>
    <w:p w:rsidR="003453D7" w:rsidRDefault="003453D7" w:rsidP="00EE49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S_____________/___________D</w:t>
      </w:r>
    </w:p>
    <w:p w:rsidR="00EE49D5" w:rsidRDefault="003453D7" w:rsidP="003453D7">
      <w:pPr>
        <w:spacing w:after="0" w:line="360" w:lineRule="auto"/>
        <w:ind w:firstLine="3261"/>
        <w:jc w:val="both"/>
        <w:rPr>
          <w:rFonts w:ascii="Times New Roman" w:hAnsi="Times New Roman" w:cs="Times New Roman"/>
          <w:sz w:val="24"/>
          <w:szCs w:val="24"/>
        </w:rPr>
      </w:pPr>
      <w:r>
        <w:rPr>
          <w:rFonts w:ascii="Times New Roman" w:hAnsi="Times New Roman" w:cs="Times New Roman"/>
          <w:sz w:val="24"/>
          <w:szCs w:val="24"/>
        </w:rPr>
        <w:t xml:space="preserve">Tenemos el agrado de dirigirnos a Ud., y por su intermedio a los demás integrantes de la Comisión Directiva, a los fines de hacerle llegar el presente dictamen que se emite en relación a la presentación efectuada por los Secretarios/as de los Juzgados de Primera Instancia del Fuero Penal, Contravencional y de Faltas de este Poder Judicial de la Ciudad de Buenos Aires. </w:t>
      </w:r>
    </w:p>
    <w:p w:rsidR="003453D7" w:rsidRDefault="003453D7" w:rsidP="003453D7">
      <w:pPr>
        <w:spacing w:after="0" w:line="360" w:lineRule="auto"/>
        <w:ind w:firstLine="3261"/>
        <w:jc w:val="both"/>
        <w:rPr>
          <w:rFonts w:ascii="Times New Roman" w:hAnsi="Times New Roman" w:cs="Times New Roman"/>
          <w:sz w:val="24"/>
          <w:szCs w:val="24"/>
        </w:rPr>
      </w:pPr>
      <w:r>
        <w:rPr>
          <w:rFonts w:ascii="Times New Roman" w:hAnsi="Times New Roman" w:cs="Times New Roman"/>
          <w:sz w:val="24"/>
          <w:szCs w:val="24"/>
        </w:rPr>
        <w:t>En este sentido, deseamos expresar que compartimos la profunda preocupación respecto de la in</w:t>
      </w:r>
      <w:r w:rsidR="007F66A8">
        <w:rPr>
          <w:rFonts w:ascii="Times New Roman" w:hAnsi="Times New Roman" w:cs="Times New Roman"/>
          <w:sz w:val="24"/>
          <w:szCs w:val="24"/>
        </w:rPr>
        <w:t>eficacia e ineficiencia del</w:t>
      </w:r>
      <w:r>
        <w:rPr>
          <w:rFonts w:ascii="Times New Roman" w:hAnsi="Times New Roman" w:cs="Times New Roman"/>
          <w:sz w:val="24"/>
          <w:szCs w:val="24"/>
        </w:rPr>
        <w:t xml:space="preserve"> actual sistema de ad</w:t>
      </w:r>
      <w:r w:rsidR="006277A2">
        <w:rPr>
          <w:rFonts w:ascii="Times New Roman" w:hAnsi="Times New Roman" w:cs="Times New Roman"/>
          <w:sz w:val="24"/>
          <w:szCs w:val="24"/>
        </w:rPr>
        <w:t>ministración de justicia porteño</w:t>
      </w:r>
      <w:r>
        <w:rPr>
          <w:rFonts w:ascii="Times New Roman" w:hAnsi="Times New Roman" w:cs="Times New Roman"/>
          <w:sz w:val="24"/>
          <w:szCs w:val="24"/>
        </w:rPr>
        <w:t xml:space="preserve"> para afrontar las nuevas competencias que progresivamente viene asumiendo el Fuero Penal, Contravencional y de Faltas</w:t>
      </w:r>
      <w:r w:rsidR="007F66A8">
        <w:rPr>
          <w:rFonts w:ascii="Times New Roman" w:hAnsi="Times New Roman" w:cs="Times New Roman"/>
          <w:sz w:val="24"/>
          <w:szCs w:val="24"/>
        </w:rPr>
        <w:t xml:space="preserve"> con los Convenios de Transferencias que fueron su</w:t>
      </w:r>
      <w:r w:rsidR="006277A2">
        <w:rPr>
          <w:rFonts w:ascii="Times New Roman" w:hAnsi="Times New Roman" w:cs="Times New Roman"/>
          <w:sz w:val="24"/>
          <w:szCs w:val="24"/>
        </w:rPr>
        <w:t xml:space="preserve">scriptos entre el Gobierno nacional y local </w:t>
      </w:r>
      <w:r w:rsidR="007F66A8">
        <w:rPr>
          <w:rFonts w:ascii="Times New Roman" w:hAnsi="Times New Roman" w:cs="Times New Roman"/>
          <w:sz w:val="24"/>
          <w:szCs w:val="24"/>
        </w:rPr>
        <w:t xml:space="preserve"> </w:t>
      </w:r>
      <w:r w:rsidR="006277A2">
        <w:rPr>
          <w:rFonts w:ascii="Times New Roman" w:hAnsi="Times New Roman" w:cs="Times New Roman"/>
          <w:sz w:val="24"/>
          <w:szCs w:val="24"/>
        </w:rPr>
        <w:t>desde la reforma constitucional de 1994.</w:t>
      </w:r>
    </w:p>
    <w:p w:rsidR="006277A2" w:rsidRDefault="006277A2" w:rsidP="003453D7">
      <w:pPr>
        <w:spacing w:after="0" w:line="360" w:lineRule="auto"/>
        <w:ind w:firstLine="3261"/>
        <w:jc w:val="both"/>
        <w:rPr>
          <w:rFonts w:ascii="Times New Roman" w:hAnsi="Times New Roman" w:cs="Times New Roman"/>
          <w:sz w:val="24"/>
          <w:szCs w:val="24"/>
        </w:rPr>
      </w:pPr>
      <w:r>
        <w:rPr>
          <w:rFonts w:ascii="Times New Roman" w:hAnsi="Times New Roman" w:cs="Times New Roman"/>
          <w:sz w:val="24"/>
          <w:szCs w:val="24"/>
        </w:rPr>
        <w:t>Así, adverti</w:t>
      </w:r>
      <w:r w:rsidR="003B78BA">
        <w:rPr>
          <w:rFonts w:ascii="Times New Roman" w:hAnsi="Times New Roman" w:cs="Times New Roman"/>
          <w:sz w:val="24"/>
          <w:szCs w:val="24"/>
        </w:rPr>
        <w:t xml:space="preserve">mos </w:t>
      </w:r>
      <w:r>
        <w:rPr>
          <w:rFonts w:ascii="Times New Roman" w:hAnsi="Times New Roman" w:cs="Times New Roman"/>
          <w:sz w:val="24"/>
          <w:szCs w:val="24"/>
        </w:rPr>
        <w:t xml:space="preserve">que desde su creación el Fuero P,CyF pasó de intervenir en materia contravencional, de faltas, ejecuciones de multa y tan solo en algunos delitos para luego ampliar su competencia criminal significativamente hasta incluso pasar a conocer en casos de narcomenudeo por la ley de </w:t>
      </w:r>
      <w:r w:rsidR="003B78BA">
        <w:rPr>
          <w:rFonts w:ascii="Times New Roman" w:hAnsi="Times New Roman" w:cs="Times New Roman"/>
          <w:sz w:val="24"/>
          <w:szCs w:val="24"/>
        </w:rPr>
        <w:t>des</w:t>
      </w:r>
      <w:r>
        <w:rPr>
          <w:rFonts w:ascii="Times New Roman" w:hAnsi="Times New Roman" w:cs="Times New Roman"/>
          <w:sz w:val="24"/>
          <w:szCs w:val="24"/>
        </w:rPr>
        <w:t>federalización</w:t>
      </w:r>
      <w:r w:rsidR="003B78BA">
        <w:rPr>
          <w:rFonts w:ascii="Times New Roman" w:hAnsi="Times New Roman" w:cs="Times New Roman"/>
          <w:sz w:val="24"/>
          <w:szCs w:val="24"/>
        </w:rPr>
        <w:t xml:space="preserve"> de drogas</w:t>
      </w:r>
      <w:r>
        <w:rPr>
          <w:rFonts w:ascii="Times New Roman" w:hAnsi="Times New Roman" w:cs="Times New Roman"/>
          <w:sz w:val="24"/>
          <w:szCs w:val="24"/>
        </w:rPr>
        <w:t xml:space="preserve">. Todo ello, sin cambiar sustancialmente </w:t>
      </w:r>
      <w:r w:rsidR="003B78BA">
        <w:rPr>
          <w:rFonts w:ascii="Times New Roman" w:hAnsi="Times New Roman" w:cs="Times New Roman"/>
          <w:sz w:val="24"/>
          <w:szCs w:val="24"/>
        </w:rPr>
        <w:t xml:space="preserve">ni </w:t>
      </w:r>
      <w:r>
        <w:rPr>
          <w:rFonts w:ascii="Times New Roman" w:hAnsi="Times New Roman" w:cs="Times New Roman"/>
          <w:sz w:val="24"/>
          <w:szCs w:val="24"/>
        </w:rPr>
        <w:t xml:space="preserve">su estructura y </w:t>
      </w:r>
      <w:r w:rsidR="003B78BA">
        <w:rPr>
          <w:rFonts w:ascii="Times New Roman" w:hAnsi="Times New Roman" w:cs="Times New Roman"/>
          <w:sz w:val="24"/>
          <w:szCs w:val="24"/>
        </w:rPr>
        <w:t xml:space="preserve">ni </w:t>
      </w:r>
      <w:r>
        <w:rPr>
          <w:rFonts w:ascii="Times New Roman" w:hAnsi="Times New Roman" w:cs="Times New Roman"/>
          <w:sz w:val="24"/>
          <w:szCs w:val="24"/>
        </w:rPr>
        <w:t xml:space="preserve">su diseño. </w:t>
      </w:r>
    </w:p>
    <w:p w:rsidR="006277A2" w:rsidRDefault="006277A2" w:rsidP="003453D7">
      <w:pPr>
        <w:spacing w:after="0" w:line="360" w:lineRule="auto"/>
        <w:ind w:firstLine="3261"/>
        <w:jc w:val="both"/>
        <w:rPr>
          <w:rFonts w:ascii="Times New Roman" w:hAnsi="Times New Roman" w:cs="Times New Roman"/>
          <w:sz w:val="24"/>
          <w:szCs w:val="24"/>
        </w:rPr>
      </w:pPr>
      <w:r>
        <w:rPr>
          <w:rFonts w:ascii="Times New Roman" w:hAnsi="Times New Roman" w:cs="Times New Roman"/>
          <w:sz w:val="24"/>
          <w:szCs w:val="24"/>
        </w:rPr>
        <w:t xml:space="preserve">Para tomar una verdadera dimensión de la sobrecarga de trabajo que </w:t>
      </w:r>
      <w:r w:rsidR="006D609A">
        <w:rPr>
          <w:rFonts w:ascii="Times New Roman" w:hAnsi="Times New Roman" w:cs="Times New Roman"/>
          <w:sz w:val="24"/>
          <w:szCs w:val="24"/>
        </w:rPr>
        <w:t xml:space="preserve">aquello trajo aparejado en el sistema de administración de justicia local, basta con hacer un pequeño repaso de los contenidos </w:t>
      </w:r>
      <w:r w:rsidR="001C4DB4">
        <w:rPr>
          <w:rFonts w:ascii="Times New Roman" w:hAnsi="Times New Roman" w:cs="Times New Roman"/>
          <w:sz w:val="24"/>
          <w:szCs w:val="24"/>
        </w:rPr>
        <w:t xml:space="preserve">que fueron ingresando a la órbita de competencia en materia penal local, a partir </w:t>
      </w:r>
      <w:r w:rsidR="006D609A">
        <w:rPr>
          <w:rFonts w:ascii="Times New Roman" w:hAnsi="Times New Roman" w:cs="Times New Roman"/>
          <w:sz w:val="24"/>
          <w:szCs w:val="24"/>
        </w:rPr>
        <w:t xml:space="preserve">de los acuerdos antes </w:t>
      </w:r>
      <w:r w:rsidR="001C4DB4">
        <w:rPr>
          <w:rFonts w:ascii="Times New Roman" w:hAnsi="Times New Roman" w:cs="Times New Roman"/>
          <w:sz w:val="24"/>
          <w:szCs w:val="24"/>
        </w:rPr>
        <w:t>mencionados</w:t>
      </w:r>
      <w:r w:rsidR="006D609A">
        <w:rPr>
          <w:rFonts w:ascii="Times New Roman" w:hAnsi="Times New Roman" w:cs="Times New Roman"/>
          <w:sz w:val="24"/>
          <w:szCs w:val="24"/>
        </w:rPr>
        <w:t>.</w:t>
      </w:r>
    </w:p>
    <w:p w:rsidR="007F66A8" w:rsidRDefault="007F66A8" w:rsidP="003453D7">
      <w:pPr>
        <w:spacing w:after="0" w:line="360" w:lineRule="auto"/>
        <w:ind w:firstLine="3261"/>
        <w:jc w:val="both"/>
        <w:rPr>
          <w:rFonts w:ascii="Times New Roman" w:hAnsi="Times New Roman" w:cs="Times New Roman"/>
          <w:sz w:val="24"/>
          <w:szCs w:val="24"/>
        </w:rPr>
      </w:pPr>
      <w:r>
        <w:rPr>
          <w:rFonts w:ascii="Times New Roman" w:hAnsi="Times New Roman" w:cs="Times New Roman"/>
          <w:sz w:val="24"/>
          <w:szCs w:val="24"/>
        </w:rPr>
        <w:t xml:space="preserve">El primer convenio suscripto el 7 de diciembre de 2000 tuvo por objeto la transferencia de la competencia para investigar y juzgar hechos vinculados con los delitos de: </w:t>
      </w:r>
      <w:r w:rsidR="002066E3">
        <w:rPr>
          <w:rFonts w:ascii="Times New Roman" w:hAnsi="Times New Roman" w:cs="Times New Roman"/>
          <w:sz w:val="24"/>
          <w:szCs w:val="24"/>
        </w:rPr>
        <w:t>tenencia</w:t>
      </w:r>
      <w:r>
        <w:rPr>
          <w:rFonts w:ascii="Times New Roman" w:hAnsi="Times New Roman" w:cs="Times New Roman"/>
          <w:sz w:val="24"/>
          <w:szCs w:val="24"/>
        </w:rPr>
        <w:t xml:space="preserve">, portación y suministro de armas de uso civil. El </w:t>
      </w:r>
      <w:r>
        <w:rPr>
          <w:rFonts w:ascii="Times New Roman" w:hAnsi="Times New Roman" w:cs="Times New Roman"/>
          <w:sz w:val="24"/>
          <w:szCs w:val="24"/>
        </w:rPr>
        <w:lastRenderedPageBreak/>
        <w:t>segundo</w:t>
      </w:r>
      <w:r w:rsidR="001C4DB4">
        <w:rPr>
          <w:rFonts w:ascii="Times New Roman" w:hAnsi="Times New Roman" w:cs="Times New Roman"/>
          <w:sz w:val="24"/>
          <w:szCs w:val="24"/>
        </w:rPr>
        <w:t>,</w:t>
      </w:r>
      <w:r>
        <w:rPr>
          <w:rFonts w:ascii="Times New Roman" w:hAnsi="Times New Roman" w:cs="Times New Roman"/>
          <w:sz w:val="24"/>
          <w:szCs w:val="24"/>
        </w:rPr>
        <w:t xml:space="preserve"> suscripto en el 2004, </w:t>
      </w:r>
      <w:r w:rsidR="001C4DB4">
        <w:rPr>
          <w:rFonts w:ascii="Times New Roman" w:hAnsi="Times New Roman" w:cs="Times New Roman"/>
          <w:sz w:val="24"/>
          <w:szCs w:val="24"/>
        </w:rPr>
        <w:t>amplió las</w:t>
      </w:r>
      <w:r>
        <w:rPr>
          <w:rFonts w:ascii="Times New Roman" w:hAnsi="Times New Roman" w:cs="Times New Roman"/>
          <w:sz w:val="24"/>
          <w:szCs w:val="24"/>
        </w:rPr>
        <w:t xml:space="preserve"> competencias penales </w:t>
      </w:r>
      <w:r w:rsidR="001C4DB4">
        <w:rPr>
          <w:rFonts w:ascii="Times New Roman" w:hAnsi="Times New Roman" w:cs="Times New Roman"/>
          <w:sz w:val="24"/>
          <w:szCs w:val="24"/>
        </w:rPr>
        <w:t>a los</w:t>
      </w:r>
      <w:r>
        <w:rPr>
          <w:rFonts w:ascii="Times New Roman" w:hAnsi="Times New Roman" w:cs="Times New Roman"/>
          <w:sz w:val="24"/>
          <w:szCs w:val="24"/>
        </w:rPr>
        <w:t xml:space="preserve"> delitos</w:t>
      </w:r>
      <w:r w:rsidR="001C4DB4">
        <w:rPr>
          <w:rFonts w:ascii="Times New Roman" w:hAnsi="Times New Roman" w:cs="Times New Roman"/>
          <w:sz w:val="24"/>
          <w:szCs w:val="24"/>
        </w:rPr>
        <w:t xml:space="preserve"> de</w:t>
      </w:r>
      <w:r>
        <w:rPr>
          <w:rFonts w:ascii="Times New Roman" w:hAnsi="Times New Roman" w:cs="Times New Roman"/>
          <w:sz w:val="24"/>
          <w:szCs w:val="24"/>
        </w:rPr>
        <w:t xml:space="preserve">: Lesiones en riña, abandono de personas, omisión de auxilio, exhibiciones </w:t>
      </w:r>
      <w:r w:rsidR="002066E3">
        <w:rPr>
          <w:rFonts w:ascii="Times New Roman" w:hAnsi="Times New Roman" w:cs="Times New Roman"/>
          <w:sz w:val="24"/>
          <w:szCs w:val="24"/>
        </w:rPr>
        <w:t>obscenas</w:t>
      </w:r>
      <w:r>
        <w:rPr>
          <w:rFonts w:ascii="Times New Roman" w:hAnsi="Times New Roman" w:cs="Times New Roman"/>
          <w:sz w:val="24"/>
          <w:szCs w:val="24"/>
        </w:rPr>
        <w:t xml:space="preserve">, </w:t>
      </w:r>
      <w:r w:rsidR="002066E3">
        <w:rPr>
          <w:rFonts w:ascii="Times New Roman" w:hAnsi="Times New Roman" w:cs="Times New Roman"/>
          <w:sz w:val="24"/>
          <w:szCs w:val="24"/>
        </w:rPr>
        <w:t>matrimonios</w:t>
      </w:r>
      <w:r>
        <w:rPr>
          <w:rFonts w:ascii="Times New Roman" w:hAnsi="Times New Roman" w:cs="Times New Roman"/>
          <w:sz w:val="24"/>
          <w:szCs w:val="24"/>
        </w:rPr>
        <w:t xml:space="preserve"> ilegales, amenazas, </w:t>
      </w:r>
      <w:r w:rsidR="002066E3">
        <w:rPr>
          <w:rFonts w:ascii="Times New Roman" w:hAnsi="Times New Roman" w:cs="Times New Roman"/>
          <w:sz w:val="24"/>
          <w:szCs w:val="24"/>
        </w:rPr>
        <w:t>violación</w:t>
      </w:r>
      <w:r>
        <w:rPr>
          <w:rFonts w:ascii="Times New Roman" w:hAnsi="Times New Roman" w:cs="Times New Roman"/>
          <w:sz w:val="24"/>
          <w:szCs w:val="24"/>
        </w:rPr>
        <w:t xml:space="preserve"> de domicilio, usurpación, daños, ejercicio ilegal de la medicina, y los tipificados en leyes especiales: </w:t>
      </w:r>
      <w:r w:rsidR="002066E3">
        <w:rPr>
          <w:rFonts w:ascii="Times New Roman" w:hAnsi="Times New Roman" w:cs="Times New Roman"/>
          <w:sz w:val="24"/>
          <w:szCs w:val="24"/>
        </w:rPr>
        <w:t>incumplimiento</w:t>
      </w:r>
      <w:r>
        <w:rPr>
          <w:rFonts w:ascii="Times New Roman" w:hAnsi="Times New Roman" w:cs="Times New Roman"/>
          <w:sz w:val="24"/>
          <w:szCs w:val="24"/>
        </w:rPr>
        <w:t xml:space="preserve"> de los deberes de asistencia familiar, malos tratos y crueldad contra animales y actos discriminatorios.</w:t>
      </w:r>
    </w:p>
    <w:p w:rsidR="007F66A8" w:rsidRDefault="007F66A8" w:rsidP="003453D7">
      <w:pPr>
        <w:spacing w:after="0" w:line="360" w:lineRule="auto"/>
        <w:ind w:firstLine="3261"/>
        <w:jc w:val="both"/>
        <w:rPr>
          <w:rFonts w:ascii="Times New Roman" w:hAnsi="Times New Roman" w:cs="Times New Roman"/>
          <w:sz w:val="24"/>
          <w:szCs w:val="24"/>
        </w:rPr>
      </w:pPr>
      <w:r>
        <w:rPr>
          <w:rFonts w:ascii="Times New Roman" w:hAnsi="Times New Roman" w:cs="Times New Roman"/>
          <w:sz w:val="24"/>
          <w:szCs w:val="24"/>
        </w:rPr>
        <w:t xml:space="preserve">En una tercera etapa la ley </w:t>
      </w:r>
      <w:r w:rsidR="002066E3">
        <w:rPr>
          <w:rFonts w:ascii="Times New Roman" w:hAnsi="Times New Roman" w:cs="Times New Roman"/>
          <w:sz w:val="24"/>
          <w:szCs w:val="24"/>
        </w:rPr>
        <w:t>nacional</w:t>
      </w:r>
      <w:r>
        <w:rPr>
          <w:rFonts w:ascii="Times New Roman" w:hAnsi="Times New Roman" w:cs="Times New Roman"/>
          <w:sz w:val="24"/>
          <w:szCs w:val="24"/>
        </w:rPr>
        <w:t xml:space="preserve"> 26.702 dispuso un nuevo traspaso de competencias para </w:t>
      </w:r>
      <w:r w:rsidR="001C4DB4">
        <w:rPr>
          <w:rFonts w:ascii="Times New Roman" w:hAnsi="Times New Roman" w:cs="Times New Roman"/>
          <w:sz w:val="24"/>
          <w:szCs w:val="24"/>
        </w:rPr>
        <w:t xml:space="preserve">investigar y juzgar los delitos de: </w:t>
      </w:r>
      <w:r>
        <w:rPr>
          <w:rFonts w:ascii="Times New Roman" w:hAnsi="Times New Roman" w:cs="Times New Roman"/>
          <w:sz w:val="24"/>
          <w:szCs w:val="24"/>
        </w:rPr>
        <w:t xml:space="preserve">Lesiones, duelo, abuso de armas, violación de </w:t>
      </w:r>
      <w:r w:rsidR="002066E3">
        <w:rPr>
          <w:rFonts w:ascii="Times New Roman" w:hAnsi="Times New Roman" w:cs="Times New Roman"/>
          <w:sz w:val="24"/>
          <w:szCs w:val="24"/>
        </w:rPr>
        <w:t>dominio</w:t>
      </w:r>
      <w:r>
        <w:rPr>
          <w:rFonts w:ascii="Times New Roman" w:hAnsi="Times New Roman" w:cs="Times New Roman"/>
          <w:sz w:val="24"/>
          <w:szCs w:val="24"/>
        </w:rPr>
        <w:t xml:space="preserve">, incendio y otros estragos, tenencia, portación y </w:t>
      </w:r>
      <w:r w:rsidR="002066E3">
        <w:rPr>
          <w:rFonts w:ascii="Times New Roman" w:hAnsi="Times New Roman" w:cs="Times New Roman"/>
          <w:sz w:val="24"/>
          <w:szCs w:val="24"/>
        </w:rPr>
        <w:t>provisión</w:t>
      </w:r>
      <w:r>
        <w:rPr>
          <w:rFonts w:ascii="Times New Roman" w:hAnsi="Times New Roman" w:cs="Times New Roman"/>
          <w:sz w:val="24"/>
          <w:szCs w:val="24"/>
        </w:rPr>
        <w:t xml:space="preserve"> de armas de guerra de </w:t>
      </w:r>
      <w:r w:rsidR="002066E3">
        <w:rPr>
          <w:rFonts w:ascii="Times New Roman" w:hAnsi="Times New Roman" w:cs="Times New Roman"/>
          <w:sz w:val="24"/>
          <w:szCs w:val="24"/>
        </w:rPr>
        <w:t>uso</w:t>
      </w:r>
      <w:r>
        <w:rPr>
          <w:rFonts w:ascii="Times New Roman" w:hAnsi="Times New Roman" w:cs="Times New Roman"/>
          <w:sz w:val="24"/>
          <w:szCs w:val="24"/>
        </w:rPr>
        <w:t xml:space="preserve"> civil condicional, impedimento u obstrucción de contacto, </w:t>
      </w:r>
      <w:r w:rsidR="002066E3">
        <w:rPr>
          <w:rFonts w:ascii="Times New Roman" w:hAnsi="Times New Roman" w:cs="Times New Roman"/>
          <w:sz w:val="24"/>
          <w:szCs w:val="24"/>
        </w:rPr>
        <w:t>penalización</w:t>
      </w:r>
      <w:r>
        <w:rPr>
          <w:rFonts w:ascii="Times New Roman" w:hAnsi="Times New Roman" w:cs="Times New Roman"/>
          <w:sz w:val="24"/>
          <w:szCs w:val="24"/>
        </w:rPr>
        <w:t xml:space="preserve"> de actos discriminatorios, delitos y contravenciones en el deporte y en espectáculos deportivos, atentado y resistencia contra la autoridad, falsa denuncia, usurpación de autoridad, títulos u otro honores, abuso de autoridad y violación de los deberes de funcionarios </w:t>
      </w:r>
      <w:r w:rsidR="002066E3">
        <w:rPr>
          <w:rFonts w:ascii="Times New Roman" w:hAnsi="Times New Roman" w:cs="Times New Roman"/>
          <w:sz w:val="24"/>
          <w:szCs w:val="24"/>
        </w:rPr>
        <w:t>públicos</w:t>
      </w:r>
      <w:r>
        <w:rPr>
          <w:rFonts w:ascii="Times New Roman" w:hAnsi="Times New Roman" w:cs="Times New Roman"/>
          <w:sz w:val="24"/>
          <w:szCs w:val="24"/>
        </w:rPr>
        <w:t xml:space="preserve">, violación de sellos y documentos, cohecho y </w:t>
      </w:r>
      <w:r w:rsidR="002066E3">
        <w:rPr>
          <w:rFonts w:ascii="Times New Roman" w:hAnsi="Times New Roman" w:cs="Times New Roman"/>
          <w:sz w:val="24"/>
          <w:szCs w:val="24"/>
        </w:rPr>
        <w:t>tráfico</w:t>
      </w:r>
      <w:r>
        <w:rPr>
          <w:rFonts w:ascii="Times New Roman" w:hAnsi="Times New Roman" w:cs="Times New Roman"/>
          <w:sz w:val="24"/>
          <w:szCs w:val="24"/>
        </w:rPr>
        <w:t xml:space="preserve"> de influencias, malversación de caudales públicos, negociaciones incompatibles con el ejercicio de funciones públicas, exacciones ilegales, </w:t>
      </w:r>
      <w:r w:rsidR="002066E3">
        <w:rPr>
          <w:rFonts w:ascii="Times New Roman" w:hAnsi="Times New Roman" w:cs="Times New Roman"/>
          <w:sz w:val="24"/>
          <w:szCs w:val="24"/>
        </w:rPr>
        <w:t xml:space="preserve">enriquecimiento ilícito de funcionarios y empleados, prevaricato, denegación y retardo de justicia, falso testimonio, evasión y quebrantamiento de pena, falsificación de sellos timbres y marcas, falsificación de documentos, delitos de los funcionarios públicos contra la libertad individual, delitos contra la libertad de trabajo y asociación estafa procesal, defraudación, delitos contra la seguridad del tránsito, desarmados de autos sin autorización, profilaxis, estupefacientes y suministro infiel e irregular de medicamentos. </w:t>
      </w:r>
    </w:p>
    <w:p w:rsidR="004E0677" w:rsidRDefault="00EE49D5" w:rsidP="003453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44BB7">
        <w:rPr>
          <w:rFonts w:ascii="Times New Roman" w:hAnsi="Times New Roman" w:cs="Times New Roman"/>
          <w:sz w:val="24"/>
          <w:szCs w:val="24"/>
        </w:rPr>
        <w:t xml:space="preserve"> </w:t>
      </w:r>
      <w:r w:rsidR="002066E3">
        <w:rPr>
          <w:rFonts w:ascii="Times New Roman" w:hAnsi="Times New Roman" w:cs="Times New Roman"/>
          <w:sz w:val="24"/>
          <w:szCs w:val="24"/>
        </w:rPr>
        <w:t>Asimismo, asignó al Poder Judicial de la Ciudad la competencia para investigar y juzgar los nuevos delitos de competencia penal ordinaria aplicables en su ámbito territorial, que se establezcan en lo sucesivo en toda ley de la nación, salvo que expresamente se disponga lo contrario. En este sentido, la ley n°5935 en su artículo 2° dispone que entrará en vigencia respecto de los delitos tipificados en el código penal y en leyes especiales, que no correspondan a la competencia federal, creados con posterioridad a la ley n°26.702, conforme lo establecido en su artículo 2°, a los 30 días de su publicación en el boletín of</w:t>
      </w:r>
      <w:r w:rsidR="006277A2">
        <w:rPr>
          <w:rFonts w:ascii="Times New Roman" w:hAnsi="Times New Roman" w:cs="Times New Roman"/>
          <w:sz w:val="24"/>
          <w:szCs w:val="24"/>
        </w:rPr>
        <w:t>icial local (facilita</w:t>
      </w:r>
      <w:r w:rsidR="002066E3">
        <w:rPr>
          <w:rFonts w:ascii="Times New Roman" w:hAnsi="Times New Roman" w:cs="Times New Roman"/>
          <w:sz w:val="24"/>
          <w:szCs w:val="24"/>
        </w:rPr>
        <w:t xml:space="preserve">miento de la prostitución, grooming, trabajo infantil, proporcionar información falsa, explotación de juegos de azar sin autorización y carreras de perros). </w:t>
      </w:r>
    </w:p>
    <w:p w:rsidR="006D609A" w:rsidRDefault="001C4DB4" w:rsidP="006D609A">
      <w:pPr>
        <w:spacing w:after="0" w:line="360" w:lineRule="auto"/>
        <w:ind w:firstLine="1843"/>
        <w:jc w:val="both"/>
        <w:rPr>
          <w:rFonts w:ascii="Times New Roman" w:hAnsi="Times New Roman" w:cs="Times New Roman"/>
          <w:sz w:val="24"/>
          <w:szCs w:val="24"/>
        </w:rPr>
      </w:pPr>
      <w:r>
        <w:rPr>
          <w:rFonts w:ascii="Times New Roman" w:hAnsi="Times New Roman" w:cs="Times New Roman"/>
          <w:sz w:val="24"/>
          <w:szCs w:val="24"/>
        </w:rPr>
        <w:t>De esta manera, y c</w:t>
      </w:r>
      <w:r w:rsidR="006D609A">
        <w:rPr>
          <w:rFonts w:ascii="Times New Roman" w:hAnsi="Times New Roman" w:cs="Times New Roman"/>
          <w:sz w:val="24"/>
          <w:szCs w:val="24"/>
        </w:rPr>
        <w:t xml:space="preserve">omo se puede ver, la ampliación de la competencia sobre todo en materia criminal no fue menor al punto tal que a poco </w:t>
      </w:r>
      <w:r w:rsidR="006D609A">
        <w:rPr>
          <w:rFonts w:ascii="Times New Roman" w:hAnsi="Times New Roman" w:cs="Times New Roman"/>
          <w:sz w:val="24"/>
          <w:szCs w:val="24"/>
        </w:rPr>
        <w:lastRenderedPageBreak/>
        <w:t xml:space="preserve">tiempo de entrada en vigencia del último convenio las estructuras del sistema ya se encuentran resentidas. Más aún, si no se pierde de vista que el Fuero continúa con su competencia inicial en materia contravencional, de faltas y ejecuciones fiscales. </w:t>
      </w:r>
    </w:p>
    <w:p w:rsidR="006D609A" w:rsidRDefault="001C4DB4" w:rsidP="006D609A">
      <w:pPr>
        <w:spacing w:after="0" w:line="360" w:lineRule="auto"/>
        <w:ind w:firstLine="1843"/>
        <w:jc w:val="both"/>
        <w:rPr>
          <w:rFonts w:ascii="Times New Roman" w:hAnsi="Times New Roman" w:cs="Times New Roman"/>
          <w:sz w:val="24"/>
          <w:szCs w:val="24"/>
        </w:rPr>
      </w:pPr>
      <w:r>
        <w:rPr>
          <w:rFonts w:ascii="Times New Roman" w:hAnsi="Times New Roman" w:cs="Times New Roman"/>
          <w:sz w:val="24"/>
          <w:szCs w:val="24"/>
        </w:rPr>
        <w:t xml:space="preserve">Con este horizonte, el reclamo de los Secretarios de Primera Instancia de los Juzgados Penales, Contravencionales y de Faltas </w:t>
      </w:r>
      <w:r w:rsidR="00864742">
        <w:rPr>
          <w:rFonts w:ascii="Times New Roman" w:hAnsi="Times New Roman" w:cs="Times New Roman"/>
          <w:sz w:val="24"/>
          <w:szCs w:val="24"/>
        </w:rPr>
        <w:t>respecto de la necesidad de</w:t>
      </w:r>
      <w:r>
        <w:rPr>
          <w:rFonts w:ascii="Times New Roman" w:hAnsi="Times New Roman" w:cs="Times New Roman"/>
          <w:sz w:val="24"/>
          <w:szCs w:val="24"/>
        </w:rPr>
        <w:t xml:space="preserve"> ampliación de la planta en la jurisdicción no sólo </w:t>
      </w:r>
      <w:r w:rsidR="00864742">
        <w:rPr>
          <w:rFonts w:ascii="Times New Roman" w:hAnsi="Times New Roman" w:cs="Times New Roman"/>
          <w:sz w:val="24"/>
          <w:szCs w:val="24"/>
        </w:rPr>
        <w:t>cue</w:t>
      </w:r>
      <w:r>
        <w:rPr>
          <w:rFonts w:ascii="Times New Roman" w:hAnsi="Times New Roman" w:cs="Times New Roman"/>
          <w:sz w:val="24"/>
          <w:szCs w:val="24"/>
        </w:rPr>
        <w:t xml:space="preserve">nta con </w:t>
      </w:r>
      <w:r w:rsidR="00864742">
        <w:rPr>
          <w:rFonts w:ascii="Times New Roman" w:hAnsi="Times New Roman" w:cs="Times New Roman"/>
          <w:sz w:val="24"/>
          <w:szCs w:val="24"/>
        </w:rPr>
        <w:t xml:space="preserve">la </w:t>
      </w:r>
      <w:r>
        <w:rPr>
          <w:rFonts w:ascii="Times New Roman" w:hAnsi="Times New Roman" w:cs="Times New Roman"/>
          <w:sz w:val="24"/>
          <w:szCs w:val="24"/>
        </w:rPr>
        <w:t>legitimidad que le da la</w:t>
      </w:r>
      <w:r w:rsidR="00864742">
        <w:rPr>
          <w:rFonts w:ascii="Times New Roman" w:hAnsi="Times New Roman" w:cs="Times New Roman"/>
          <w:sz w:val="24"/>
          <w:szCs w:val="24"/>
        </w:rPr>
        <w:t xml:space="preserve"> misma</w:t>
      </w:r>
      <w:r>
        <w:rPr>
          <w:rFonts w:ascii="Times New Roman" w:hAnsi="Times New Roman" w:cs="Times New Roman"/>
          <w:sz w:val="24"/>
          <w:szCs w:val="24"/>
        </w:rPr>
        <w:t xml:space="preserve"> realidad actual que atraviesa el Poder Judicial de la C.A.B.A, sino que a</w:t>
      </w:r>
      <w:r w:rsidR="00864742">
        <w:rPr>
          <w:rFonts w:ascii="Times New Roman" w:hAnsi="Times New Roman" w:cs="Times New Roman"/>
          <w:sz w:val="24"/>
          <w:szCs w:val="24"/>
        </w:rPr>
        <w:t xml:space="preserve">demás se inscribe en un contexto generalizado de malestar laboral que han denunciado los demás funcionarios de los Ministerios Públicos y por el que vienen reclamando las asociaciones y los gremios. </w:t>
      </w:r>
    </w:p>
    <w:p w:rsidR="00EA3592" w:rsidRDefault="00864742" w:rsidP="00864742">
      <w:pPr>
        <w:spacing w:after="0" w:line="360" w:lineRule="auto"/>
        <w:ind w:firstLine="1843"/>
        <w:jc w:val="both"/>
        <w:rPr>
          <w:rFonts w:ascii="Times New Roman" w:hAnsi="Times New Roman" w:cs="Times New Roman"/>
          <w:sz w:val="24"/>
          <w:szCs w:val="24"/>
        </w:rPr>
      </w:pPr>
      <w:r>
        <w:rPr>
          <w:rFonts w:ascii="Times New Roman" w:hAnsi="Times New Roman" w:cs="Times New Roman"/>
          <w:sz w:val="24"/>
          <w:szCs w:val="24"/>
        </w:rPr>
        <w:t xml:space="preserve">En efecto, existe un amplio consenso entre todos los operadores judiciales en el </w:t>
      </w:r>
      <w:r w:rsidR="001C4DB4" w:rsidRPr="00864742">
        <w:rPr>
          <w:rFonts w:ascii="Times New Roman" w:hAnsi="Times New Roman" w:cs="Times New Roman"/>
          <w:sz w:val="24"/>
          <w:szCs w:val="24"/>
        </w:rPr>
        <w:t xml:space="preserve">diagnóstico de la excesiva sobrecarga laboral, </w:t>
      </w:r>
      <w:r>
        <w:rPr>
          <w:rFonts w:ascii="Times New Roman" w:hAnsi="Times New Roman" w:cs="Times New Roman"/>
          <w:sz w:val="24"/>
          <w:szCs w:val="24"/>
        </w:rPr>
        <w:t xml:space="preserve">en </w:t>
      </w:r>
      <w:r w:rsidR="001C4DB4" w:rsidRPr="00864742">
        <w:rPr>
          <w:rFonts w:ascii="Times New Roman" w:hAnsi="Times New Roman" w:cs="Times New Roman"/>
          <w:sz w:val="24"/>
          <w:szCs w:val="24"/>
        </w:rPr>
        <w:t xml:space="preserve">las situaciones de incumplimiento de la carrera judicial y de la jornada horaria, </w:t>
      </w:r>
      <w:r>
        <w:rPr>
          <w:rFonts w:ascii="Times New Roman" w:hAnsi="Times New Roman" w:cs="Times New Roman"/>
          <w:sz w:val="24"/>
          <w:szCs w:val="24"/>
        </w:rPr>
        <w:t xml:space="preserve">en </w:t>
      </w:r>
      <w:r w:rsidR="001C4DB4" w:rsidRPr="00864742">
        <w:rPr>
          <w:rFonts w:ascii="Times New Roman" w:hAnsi="Times New Roman" w:cs="Times New Roman"/>
          <w:sz w:val="24"/>
          <w:szCs w:val="24"/>
        </w:rPr>
        <w:t xml:space="preserve">el déficit edilicio y de </w:t>
      </w:r>
      <w:r>
        <w:rPr>
          <w:rFonts w:ascii="Times New Roman" w:hAnsi="Times New Roman" w:cs="Times New Roman"/>
          <w:sz w:val="24"/>
          <w:szCs w:val="24"/>
        </w:rPr>
        <w:t xml:space="preserve">la </w:t>
      </w:r>
      <w:r w:rsidR="001C4DB4" w:rsidRPr="00864742">
        <w:rPr>
          <w:rFonts w:ascii="Times New Roman" w:hAnsi="Times New Roman" w:cs="Times New Roman"/>
          <w:sz w:val="24"/>
          <w:szCs w:val="24"/>
        </w:rPr>
        <w:t>seguridad</w:t>
      </w:r>
      <w:r>
        <w:rPr>
          <w:rFonts w:ascii="Times New Roman" w:hAnsi="Times New Roman" w:cs="Times New Roman"/>
          <w:sz w:val="24"/>
          <w:szCs w:val="24"/>
        </w:rPr>
        <w:t xml:space="preserve"> en ellos</w:t>
      </w:r>
      <w:r w:rsidR="001C4DB4" w:rsidRPr="00864742">
        <w:rPr>
          <w:rFonts w:ascii="Times New Roman" w:hAnsi="Times New Roman" w:cs="Times New Roman"/>
          <w:sz w:val="24"/>
          <w:szCs w:val="24"/>
        </w:rPr>
        <w:t xml:space="preserve">, la falta de capacitaciones específicas ante las nuevas tareas, la carencia de los elementos adecuados y suficientes de trabajo, </w:t>
      </w:r>
      <w:r>
        <w:rPr>
          <w:rFonts w:ascii="Times New Roman" w:hAnsi="Times New Roman" w:cs="Times New Roman"/>
          <w:sz w:val="24"/>
          <w:szCs w:val="24"/>
        </w:rPr>
        <w:t>etc.</w:t>
      </w:r>
    </w:p>
    <w:p w:rsidR="00864742" w:rsidRDefault="00864742" w:rsidP="00864742">
      <w:pPr>
        <w:spacing w:after="0" w:line="360" w:lineRule="auto"/>
        <w:ind w:firstLine="1843"/>
        <w:jc w:val="both"/>
        <w:rPr>
          <w:rFonts w:ascii="Times New Roman" w:hAnsi="Times New Roman" w:cs="Times New Roman"/>
          <w:sz w:val="24"/>
          <w:szCs w:val="24"/>
        </w:rPr>
      </w:pPr>
      <w:r>
        <w:rPr>
          <w:rFonts w:ascii="Times New Roman" w:hAnsi="Times New Roman" w:cs="Times New Roman"/>
          <w:sz w:val="24"/>
          <w:szCs w:val="24"/>
        </w:rPr>
        <w:t>Sin embargo, sostenemos enfáticamente que estos reclamos no deben entenderse</w:t>
      </w:r>
      <w:r w:rsidR="00F25A59">
        <w:rPr>
          <w:rFonts w:ascii="Times New Roman" w:hAnsi="Times New Roman" w:cs="Times New Roman"/>
          <w:sz w:val="24"/>
          <w:szCs w:val="24"/>
        </w:rPr>
        <w:t xml:space="preserve"> bajo ningún modo</w:t>
      </w:r>
      <w:r>
        <w:rPr>
          <w:rFonts w:ascii="Times New Roman" w:hAnsi="Times New Roman" w:cs="Times New Roman"/>
          <w:sz w:val="24"/>
          <w:szCs w:val="24"/>
        </w:rPr>
        <w:t xml:space="preserve"> </w:t>
      </w:r>
      <w:r w:rsidR="00F25A59">
        <w:rPr>
          <w:rFonts w:ascii="Times New Roman" w:hAnsi="Times New Roman" w:cs="Times New Roman"/>
          <w:sz w:val="24"/>
          <w:szCs w:val="24"/>
        </w:rPr>
        <w:t xml:space="preserve">como una protesta a la asunción de nuevas competencias por parte del Poder Judicial porteño. </w:t>
      </w:r>
      <w:r w:rsidR="005E3E7C">
        <w:rPr>
          <w:rFonts w:ascii="Times New Roman" w:hAnsi="Times New Roman" w:cs="Times New Roman"/>
          <w:sz w:val="24"/>
          <w:szCs w:val="24"/>
        </w:rPr>
        <w:t>E</w:t>
      </w:r>
      <w:r w:rsidR="00F25A59">
        <w:rPr>
          <w:rFonts w:ascii="Times New Roman" w:hAnsi="Times New Roman" w:cs="Times New Roman"/>
          <w:sz w:val="24"/>
          <w:szCs w:val="24"/>
        </w:rPr>
        <w:t xml:space="preserve">stamos orgullosos y celebramos todos y cada uno de los pasos que se dan en miras a lograr el reconocimiento pleno de la Ciudad de Buenos Aires, como una </w:t>
      </w:r>
      <w:r w:rsidR="005E3E7C">
        <w:rPr>
          <w:rFonts w:ascii="Times New Roman" w:hAnsi="Times New Roman" w:cs="Times New Roman"/>
          <w:sz w:val="24"/>
          <w:szCs w:val="24"/>
        </w:rPr>
        <w:t>“</w:t>
      </w:r>
      <w:r w:rsidR="00F25A59">
        <w:rPr>
          <w:rFonts w:ascii="Times New Roman" w:hAnsi="Times New Roman" w:cs="Times New Roman"/>
          <w:sz w:val="24"/>
          <w:szCs w:val="24"/>
        </w:rPr>
        <w:t>ciudad constitucional federada</w:t>
      </w:r>
      <w:r w:rsidR="005E3E7C">
        <w:rPr>
          <w:rFonts w:ascii="Times New Roman" w:hAnsi="Times New Roman" w:cs="Times New Roman"/>
          <w:sz w:val="24"/>
          <w:szCs w:val="24"/>
        </w:rPr>
        <w:t>”</w:t>
      </w:r>
      <w:r w:rsidR="00F25A59">
        <w:rPr>
          <w:rFonts w:ascii="Times New Roman" w:hAnsi="Times New Roman" w:cs="Times New Roman"/>
          <w:sz w:val="24"/>
          <w:szCs w:val="24"/>
        </w:rPr>
        <w:t xml:space="preserve"> en palabras</w:t>
      </w:r>
      <w:r w:rsidR="000C1526">
        <w:rPr>
          <w:rFonts w:ascii="Times New Roman" w:hAnsi="Times New Roman" w:cs="Times New Roman"/>
          <w:sz w:val="24"/>
          <w:szCs w:val="24"/>
        </w:rPr>
        <w:t xml:space="preserve"> recientes</w:t>
      </w:r>
      <w:r w:rsidR="00F25A59">
        <w:rPr>
          <w:rFonts w:ascii="Times New Roman" w:hAnsi="Times New Roman" w:cs="Times New Roman"/>
          <w:sz w:val="24"/>
          <w:szCs w:val="24"/>
        </w:rPr>
        <w:t xml:space="preserve"> de la Corte Suprema de Justicia de la Nación. </w:t>
      </w:r>
      <w:r>
        <w:rPr>
          <w:rFonts w:ascii="Times New Roman" w:hAnsi="Times New Roman" w:cs="Times New Roman"/>
          <w:sz w:val="24"/>
          <w:szCs w:val="24"/>
        </w:rPr>
        <w:t xml:space="preserve"> </w:t>
      </w:r>
    </w:p>
    <w:p w:rsidR="005E3E7C" w:rsidRDefault="005E3E7C" w:rsidP="00864742">
      <w:pPr>
        <w:spacing w:after="0" w:line="360" w:lineRule="auto"/>
        <w:ind w:firstLine="1843"/>
        <w:jc w:val="both"/>
        <w:rPr>
          <w:rFonts w:ascii="Times New Roman" w:hAnsi="Times New Roman" w:cs="Times New Roman"/>
          <w:sz w:val="24"/>
          <w:szCs w:val="24"/>
        </w:rPr>
      </w:pPr>
      <w:r>
        <w:rPr>
          <w:rFonts w:ascii="Times New Roman" w:hAnsi="Times New Roman" w:cs="Times New Roman"/>
          <w:sz w:val="24"/>
          <w:szCs w:val="24"/>
        </w:rPr>
        <w:t xml:space="preserve">Es precisamente ese orgullo el que nos compromete día a día con nuestras funciones diarias y el que nos moviliza a trabajar por un Poder Judicial que se adecue a las demandas actuales del servicio de justicia que está llamado a brindad a los ciudadanos de la ciudad. </w:t>
      </w:r>
    </w:p>
    <w:p w:rsidR="005E3E7C" w:rsidRPr="00864742" w:rsidRDefault="005E3E7C" w:rsidP="00864742">
      <w:pPr>
        <w:spacing w:after="0" w:line="360" w:lineRule="auto"/>
        <w:ind w:firstLine="1843"/>
        <w:jc w:val="both"/>
        <w:rPr>
          <w:rFonts w:ascii="Times New Roman" w:hAnsi="Times New Roman" w:cs="Times New Roman"/>
          <w:sz w:val="24"/>
          <w:szCs w:val="24"/>
        </w:rPr>
      </w:pPr>
      <w:r>
        <w:rPr>
          <w:rFonts w:ascii="Times New Roman" w:hAnsi="Times New Roman" w:cs="Times New Roman"/>
          <w:sz w:val="24"/>
          <w:szCs w:val="24"/>
        </w:rPr>
        <w:t>No obstante, estamos convencidos de que el desafío es aún mayor que lograr la ampliación de la planta de la jurisdicción o de los Ministerios Públicos</w:t>
      </w:r>
      <w:r w:rsidR="00291D78">
        <w:rPr>
          <w:rFonts w:ascii="Times New Roman" w:hAnsi="Times New Roman" w:cs="Times New Roman"/>
          <w:sz w:val="24"/>
          <w:szCs w:val="24"/>
        </w:rPr>
        <w:t xml:space="preserve"> o la creación de un</w:t>
      </w:r>
      <w:r w:rsidR="000C1526">
        <w:rPr>
          <w:rFonts w:ascii="Times New Roman" w:hAnsi="Times New Roman" w:cs="Times New Roman"/>
          <w:sz w:val="24"/>
          <w:szCs w:val="24"/>
        </w:rPr>
        <w:t xml:space="preserve"> determinado</w:t>
      </w:r>
      <w:r w:rsidR="00291D78">
        <w:rPr>
          <w:rFonts w:ascii="Times New Roman" w:hAnsi="Times New Roman" w:cs="Times New Roman"/>
          <w:sz w:val="24"/>
          <w:szCs w:val="24"/>
        </w:rPr>
        <w:t xml:space="preserve"> cargo más</w:t>
      </w:r>
      <w:r>
        <w:rPr>
          <w:rFonts w:ascii="Times New Roman" w:hAnsi="Times New Roman" w:cs="Times New Roman"/>
          <w:sz w:val="24"/>
          <w:szCs w:val="24"/>
        </w:rPr>
        <w:t xml:space="preserve">. </w:t>
      </w:r>
      <w:r w:rsidR="00291D78">
        <w:rPr>
          <w:rFonts w:ascii="Times New Roman" w:hAnsi="Times New Roman" w:cs="Times New Roman"/>
          <w:sz w:val="24"/>
          <w:szCs w:val="24"/>
        </w:rPr>
        <w:t xml:space="preserve">Por lo que debemos luchar es por una verdadera reforma del actual diseño de administración de justicia que auspicie la oralidad plena en el proceso; que otorgue mayor celeridad al trámite de las causas; que atienda la necesidad de re-pensar la distribución de trabajo (por materia v. gr. escindiendo la competencia penal de las contravenciones, faltas y las ejecuciones de multa y/o ampliando el número de Juzgados y/o de la forma en la que se acuerde que sea más conveniente); que brinde mejores condiciones </w:t>
      </w:r>
      <w:r w:rsidR="007168C5">
        <w:rPr>
          <w:rFonts w:ascii="Times New Roman" w:hAnsi="Times New Roman" w:cs="Times New Roman"/>
          <w:sz w:val="24"/>
          <w:szCs w:val="24"/>
        </w:rPr>
        <w:t>de empleo</w:t>
      </w:r>
      <w:r w:rsidR="00291D78">
        <w:rPr>
          <w:rFonts w:ascii="Times New Roman" w:hAnsi="Times New Roman" w:cs="Times New Roman"/>
          <w:sz w:val="24"/>
          <w:szCs w:val="24"/>
        </w:rPr>
        <w:t xml:space="preserve">, edilicias y de seguridad; que </w:t>
      </w:r>
      <w:r w:rsidR="00291D78">
        <w:rPr>
          <w:rFonts w:ascii="Times New Roman" w:hAnsi="Times New Roman" w:cs="Times New Roman"/>
          <w:sz w:val="24"/>
          <w:szCs w:val="24"/>
        </w:rPr>
        <w:lastRenderedPageBreak/>
        <w:t xml:space="preserve">asegure como posibilidad cierta </w:t>
      </w:r>
      <w:r w:rsidR="00193E0A">
        <w:rPr>
          <w:rFonts w:ascii="Times New Roman" w:hAnsi="Times New Roman" w:cs="Times New Roman"/>
          <w:sz w:val="24"/>
          <w:szCs w:val="24"/>
        </w:rPr>
        <w:t xml:space="preserve">a sus operadores que puedan cumplir con el mandato </w:t>
      </w:r>
      <w:r w:rsidR="007168C5">
        <w:rPr>
          <w:rFonts w:ascii="Times New Roman" w:hAnsi="Times New Roman" w:cs="Times New Roman"/>
          <w:sz w:val="24"/>
          <w:szCs w:val="24"/>
        </w:rPr>
        <w:t>constitucional que exhorta</w:t>
      </w:r>
      <w:r w:rsidR="00193E0A">
        <w:rPr>
          <w:rFonts w:ascii="Times New Roman" w:hAnsi="Times New Roman" w:cs="Times New Roman"/>
          <w:sz w:val="24"/>
          <w:szCs w:val="24"/>
        </w:rPr>
        <w:t xml:space="preserve"> </w:t>
      </w:r>
      <w:r w:rsidR="007168C5">
        <w:rPr>
          <w:rFonts w:ascii="Times New Roman" w:hAnsi="Times New Roman" w:cs="Times New Roman"/>
          <w:sz w:val="24"/>
          <w:szCs w:val="24"/>
        </w:rPr>
        <w:t>a</w:t>
      </w:r>
      <w:r w:rsidR="00193E0A">
        <w:rPr>
          <w:rFonts w:ascii="Times New Roman" w:hAnsi="Times New Roman" w:cs="Times New Roman"/>
          <w:sz w:val="24"/>
          <w:szCs w:val="24"/>
        </w:rPr>
        <w:t xml:space="preserve"> brindar una tutela judicial efectiva</w:t>
      </w:r>
      <w:r w:rsidR="007168C5">
        <w:rPr>
          <w:rFonts w:ascii="Times New Roman" w:hAnsi="Times New Roman" w:cs="Times New Roman"/>
          <w:sz w:val="24"/>
          <w:szCs w:val="24"/>
        </w:rPr>
        <w:t>; etc.</w:t>
      </w:r>
    </w:p>
    <w:p w:rsidR="00A36001" w:rsidRDefault="00193E0A" w:rsidP="00193E0A">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Es por ello, que sugerimos a la Comisión Directiva que el Colegio de Magistrados y Funcionarios acompañe a los presentantes en sus reclamos aunque asumiendo un desafió aún mayor como lo es el bregar por una verdadera reforma del sistema actual con la extensión antes señalada.  </w:t>
      </w:r>
    </w:p>
    <w:p w:rsidR="00193E0A" w:rsidRDefault="00193E0A" w:rsidP="00193E0A">
      <w:pPr>
        <w:spacing w:after="0" w:line="360" w:lineRule="auto"/>
        <w:ind w:firstLine="1134"/>
        <w:jc w:val="both"/>
        <w:rPr>
          <w:rFonts w:ascii="Times New Roman" w:hAnsi="Times New Roman" w:cs="Times New Roman"/>
          <w:sz w:val="24"/>
          <w:szCs w:val="24"/>
        </w:rPr>
      </w:pPr>
    </w:p>
    <w:p w:rsidR="00193E0A" w:rsidRDefault="00193E0A" w:rsidP="00193E0A">
      <w:pPr>
        <w:spacing w:after="0" w:line="360" w:lineRule="auto"/>
        <w:ind w:firstLine="1134"/>
        <w:jc w:val="both"/>
        <w:rPr>
          <w:rFonts w:ascii="Times New Roman" w:hAnsi="Times New Roman" w:cs="Times New Roman"/>
          <w:sz w:val="24"/>
          <w:szCs w:val="24"/>
        </w:rPr>
      </w:pPr>
    </w:p>
    <w:p w:rsidR="00193E0A" w:rsidRDefault="00193E0A" w:rsidP="00193E0A">
      <w:pPr>
        <w:spacing w:after="0" w:line="360" w:lineRule="auto"/>
        <w:ind w:firstLine="1134"/>
        <w:jc w:val="both"/>
        <w:rPr>
          <w:rFonts w:ascii="Times New Roman" w:hAnsi="Times New Roman" w:cs="Times New Roman"/>
          <w:sz w:val="24"/>
          <w:szCs w:val="24"/>
        </w:rPr>
      </w:pPr>
      <w:bookmarkStart w:id="0" w:name="_GoBack"/>
      <w:bookmarkEnd w:id="0"/>
    </w:p>
    <w:p w:rsidR="00193E0A" w:rsidRDefault="00193E0A" w:rsidP="00193E0A">
      <w:pPr>
        <w:spacing w:after="0" w:line="360" w:lineRule="auto"/>
        <w:ind w:firstLine="1134"/>
        <w:jc w:val="both"/>
        <w:rPr>
          <w:rFonts w:ascii="Times New Roman" w:hAnsi="Times New Roman" w:cs="Times New Roman"/>
          <w:sz w:val="24"/>
          <w:szCs w:val="24"/>
        </w:rPr>
      </w:pPr>
    </w:p>
    <w:p w:rsidR="00193E0A" w:rsidRDefault="00193E0A" w:rsidP="00193E0A">
      <w:pPr>
        <w:spacing w:after="0" w:line="360" w:lineRule="auto"/>
        <w:ind w:firstLine="1134"/>
        <w:jc w:val="both"/>
        <w:rPr>
          <w:rFonts w:ascii="Times New Roman" w:hAnsi="Times New Roman" w:cs="Times New Roman"/>
          <w:sz w:val="24"/>
          <w:szCs w:val="24"/>
        </w:rPr>
      </w:pPr>
    </w:p>
    <w:p w:rsidR="00193E0A" w:rsidRDefault="00193E0A" w:rsidP="00193E0A">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Martín Fleming                                                      Veronica Franceschi</w:t>
      </w:r>
    </w:p>
    <w:p w:rsidR="00193E0A" w:rsidRDefault="00193E0A" w:rsidP="00193E0A">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Coordinador PCyF                                                 Coordinadora CAyT</w:t>
      </w:r>
    </w:p>
    <w:p w:rsidR="00193E0A" w:rsidRDefault="00193E0A" w:rsidP="00193E0A">
      <w:pPr>
        <w:spacing w:after="0" w:line="360" w:lineRule="auto"/>
        <w:ind w:firstLine="1134"/>
        <w:jc w:val="both"/>
        <w:rPr>
          <w:rFonts w:ascii="Times New Roman" w:hAnsi="Times New Roman" w:cs="Times New Roman"/>
          <w:sz w:val="24"/>
          <w:szCs w:val="24"/>
        </w:rPr>
      </w:pPr>
    </w:p>
    <w:sectPr w:rsidR="00193E0A" w:rsidSect="00AC61EE">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10C" w:rsidRDefault="00C1010C" w:rsidP="00E97A8E">
      <w:pPr>
        <w:spacing w:after="0" w:line="240" w:lineRule="auto"/>
      </w:pPr>
      <w:r>
        <w:separator/>
      </w:r>
    </w:p>
  </w:endnote>
  <w:endnote w:type="continuationSeparator" w:id="0">
    <w:p w:rsidR="00C1010C" w:rsidRDefault="00C1010C" w:rsidP="00E97A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10C" w:rsidRDefault="00C1010C" w:rsidP="00E97A8E">
      <w:pPr>
        <w:spacing w:after="0" w:line="240" w:lineRule="auto"/>
      </w:pPr>
      <w:r>
        <w:separator/>
      </w:r>
    </w:p>
  </w:footnote>
  <w:footnote w:type="continuationSeparator" w:id="0">
    <w:p w:rsidR="00C1010C" w:rsidRDefault="00C1010C" w:rsidP="00E97A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B1E6B"/>
    <w:multiLevelType w:val="hybridMultilevel"/>
    <w:tmpl w:val="0B5E849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5C425BB"/>
    <w:multiLevelType w:val="hybridMultilevel"/>
    <w:tmpl w:val="0A4A31C4"/>
    <w:lvl w:ilvl="0" w:tplc="8C841DBC">
      <w:start w:val="1"/>
      <w:numFmt w:val="lowerLetter"/>
      <w:lvlText w:val="%1."/>
      <w:lvlJc w:val="left"/>
      <w:pPr>
        <w:ind w:left="2203" w:hanging="360"/>
      </w:pPr>
      <w:rPr>
        <w:rFonts w:hint="default"/>
      </w:rPr>
    </w:lvl>
    <w:lvl w:ilvl="1" w:tplc="0C0A0019" w:tentative="1">
      <w:start w:val="1"/>
      <w:numFmt w:val="lowerLetter"/>
      <w:lvlText w:val="%2."/>
      <w:lvlJc w:val="left"/>
      <w:pPr>
        <w:ind w:left="2923" w:hanging="360"/>
      </w:pPr>
    </w:lvl>
    <w:lvl w:ilvl="2" w:tplc="0C0A001B" w:tentative="1">
      <w:start w:val="1"/>
      <w:numFmt w:val="lowerRoman"/>
      <w:lvlText w:val="%3."/>
      <w:lvlJc w:val="right"/>
      <w:pPr>
        <w:ind w:left="3643" w:hanging="180"/>
      </w:pPr>
    </w:lvl>
    <w:lvl w:ilvl="3" w:tplc="0C0A000F" w:tentative="1">
      <w:start w:val="1"/>
      <w:numFmt w:val="decimal"/>
      <w:lvlText w:val="%4."/>
      <w:lvlJc w:val="left"/>
      <w:pPr>
        <w:ind w:left="4363" w:hanging="360"/>
      </w:pPr>
    </w:lvl>
    <w:lvl w:ilvl="4" w:tplc="0C0A0019" w:tentative="1">
      <w:start w:val="1"/>
      <w:numFmt w:val="lowerLetter"/>
      <w:lvlText w:val="%5."/>
      <w:lvlJc w:val="left"/>
      <w:pPr>
        <w:ind w:left="5083" w:hanging="360"/>
      </w:pPr>
    </w:lvl>
    <w:lvl w:ilvl="5" w:tplc="0C0A001B" w:tentative="1">
      <w:start w:val="1"/>
      <w:numFmt w:val="lowerRoman"/>
      <w:lvlText w:val="%6."/>
      <w:lvlJc w:val="right"/>
      <w:pPr>
        <w:ind w:left="5803" w:hanging="180"/>
      </w:pPr>
    </w:lvl>
    <w:lvl w:ilvl="6" w:tplc="0C0A000F" w:tentative="1">
      <w:start w:val="1"/>
      <w:numFmt w:val="decimal"/>
      <w:lvlText w:val="%7."/>
      <w:lvlJc w:val="left"/>
      <w:pPr>
        <w:ind w:left="6523" w:hanging="360"/>
      </w:pPr>
    </w:lvl>
    <w:lvl w:ilvl="7" w:tplc="0C0A0019" w:tentative="1">
      <w:start w:val="1"/>
      <w:numFmt w:val="lowerLetter"/>
      <w:lvlText w:val="%8."/>
      <w:lvlJc w:val="left"/>
      <w:pPr>
        <w:ind w:left="7243" w:hanging="360"/>
      </w:pPr>
    </w:lvl>
    <w:lvl w:ilvl="8" w:tplc="0C0A001B" w:tentative="1">
      <w:start w:val="1"/>
      <w:numFmt w:val="lowerRoman"/>
      <w:lvlText w:val="%9."/>
      <w:lvlJc w:val="right"/>
      <w:pPr>
        <w:ind w:left="7963"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1"/>
    <w:footnote w:id="0"/>
  </w:footnotePr>
  <w:endnotePr>
    <w:endnote w:id="-1"/>
    <w:endnote w:id="0"/>
  </w:endnotePr>
  <w:compat>
    <w:useFELayout/>
  </w:compat>
  <w:rsids>
    <w:rsidRoot w:val="001176A0"/>
    <w:rsid w:val="00073D73"/>
    <w:rsid w:val="000C1526"/>
    <w:rsid w:val="000C2D75"/>
    <w:rsid w:val="000F58D5"/>
    <w:rsid w:val="000F7461"/>
    <w:rsid w:val="001112CF"/>
    <w:rsid w:val="001176A0"/>
    <w:rsid w:val="00130672"/>
    <w:rsid w:val="00131E60"/>
    <w:rsid w:val="00135C34"/>
    <w:rsid w:val="00136F18"/>
    <w:rsid w:val="00144123"/>
    <w:rsid w:val="00156D9B"/>
    <w:rsid w:val="00156F42"/>
    <w:rsid w:val="00180CD7"/>
    <w:rsid w:val="00182832"/>
    <w:rsid w:val="00191D52"/>
    <w:rsid w:val="00193E0A"/>
    <w:rsid w:val="001A7E2E"/>
    <w:rsid w:val="001B4C02"/>
    <w:rsid w:val="001B7820"/>
    <w:rsid w:val="001C4DB4"/>
    <w:rsid w:val="001C60E6"/>
    <w:rsid w:val="00203762"/>
    <w:rsid w:val="002066E3"/>
    <w:rsid w:val="0020798E"/>
    <w:rsid w:val="00231E08"/>
    <w:rsid w:val="00254339"/>
    <w:rsid w:val="00260F58"/>
    <w:rsid w:val="002651BF"/>
    <w:rsid w:val="00267DD9"/>
    <w:rsid w:val="00291D78"/>
    <w:rsid w:val="002A1CBC"/>
    <w:rsid w:val="002A503E"/>
    <w:rsid w:val="002B497E"/>
    <w:rsid w:val="002B6063"/>
    <w:rsid w:val="002C25B9"/>
    <w:rsid w:val="002C5367"/>
    <w:rsid w:val="00342DF9"/>
    <w:rsid w:val="003453D7"/>
    <w:rsid w:val="00373955"/>
    <w:rsid w:val="003B78BA"/>
    <w:rsid w:val="003F3D11"/>
    <w:rsid w:val="00412CF2"/>
    <w:rsid w:val="00434202"/>
    <w:rsid w:val="00447B0F"/>
    <w:rsid w:val="00486E23"/>
    <w:rsid w:val="00490218"/>
    <w:rsid w:val="004A2B8D"/>
    <w:rsid w:val="004A371E"/>
    <w:rsid w:val="004C25B7"/>
    <w:rsid w:val="004C284D"/>
    <w:rsid w:val="004E0677"/>
    <w:rsid w:val="00510351"/>
    <w:rsid w:val="00520942"/>
    <w:rsid w:val="00532AC2"/>
    <w:rsid w:val="005C1566"/>
    <w:rsid w:val="005D338B"/>
    <w:rsid w:val="005D4FAC"/>
    <w:rsid w:val="005D5F62"/>
    <w:rsid w:val="005E0694"/>
    <w:rsid w:val="005E206B"/>
    <w:rsid w:val="005E3E7C"/>
    <w:rsid w:val="005E447B"/>
    <w:rsid w:val="005F0020"/>
    <w:rsid w:val="005F09BE"/>
    <w:rsid w:val="00624592"/>
    <w:rsid w:val="0062775B"/>
    <w:rsid w:val="006277A2"/>
    <w:rsid w:val="0063010D"/>
    <w:rsid w:val="00665E61"/>
    <w:rsid w:val="0069124F"/>
    <w:rsid w:val="006A48B5"/>
    <w:rsid w:val="006C13FD"/>
    <w:rsid w:val="006D609A"/>
    <w:rsid w:val="006D7981"/>
    <w:rsid w:val="006E1B74"/>
    <w:rsid w:val="0070251B"/>
    <w:rsid w:val="00702C65"/>
    <w:rsid w:val="007168C5"/>
    <w:rsid w:val="007A350C"/>
    <w:rsid w:val="007A435D"/>
    <w:rsid w:val="007D4F00"/>
    <w:rsid w:val="007F66A8"/>
    <w:rsid w:val="008578A4"/>
    <w:rsid w:val="00864742"/>
    <w:rsid w:val="00871591"/>
    <w:rsid w:val="00875076"/>
    <w:rsid w:val="008859D8"/>
    <w:rsid w:val="00891606"/>
    <w:rsid w:val="008A542A"/>
    <w:rsid w:val="008F44CE"/>
    <w:rsid w:val="00904501"/>
    <w:rsid w:val="00904F21"/>
    <w:rsid w:val="00925D7C"/>
    <w:rsid w:val="009308AF"/>
    <w:rsid w:val="00930DAF"/>
    <w:rsid w:val="009346AC"/>
    <w:rsid w:val="00944BB7"/>
    <w:rsid w:val="009647E6"/>
    <w:rsid w:val="0097175C"/>
    <w:rsid w:val="009A50BB"/>
    <w:rsid w:val="009E0B41"/>
    <w:rsid w:val="009E5048"/>
    <w:rsid w:val="009F25CA"/>
    <w:rsid w:val="00A36001"/>
    <w:rsid w:val="00A42BEE"/>
    <w:rsid w:val="00A70E01"/>
    <w:rsid w:val="00A72166"/>
    <w:rsid w:val="00A7260A"/>
    <w:rsid w:val="00A903CF"/>
    <w:rsid w:val="00AC61EE"/>
    <w:rsid w:val="00AF16DD"/>
    <w:rsid w:val="00AF1A56"/>
    <w:rsid w:val="00B13AF1"/>
    <w:rsid w:val="00B30026"/>
    <w:rsid w:val="00B52870"/>
    <w:rsid w:val="00B72499"/>
    <w:rsid w:val="00B730E0"/>
    <w:rsid w:val="00B86CCA"/>
    <w:rsid w:val="00B93EDB"/>
    <w:rsid w:val="00BC0281"/>
    <w:rsid w:val="00BC2C98"/>
    <w:rsid w:val="00BD33C2"/>
    <w:rsid w:val="00BE2589"/>
    <w:rsid w:val="00BE5935"/>
    <w:rsid w:val="00BE596F"/>
    <w:rsid w:val="00BF79FD"/>
    <w:rsid w:val="00C1010C"/>
    <w:rsid w:val="00C1195E"/>
    <w:rsid w:val="00C46D6C"/>
    <w:rsid w:val="00C519F3"/>
    <w:rsid w:val="00CA3085"/>
    <w:rsid w:val="00CB0DCF"/>
    <w:rsid w:val="00D06BEA"/>
    <w:rsid w:val="00D14545"/>
    <w:rsid w:val="00D53CCA"/>
    <w:rsid w:val="00D8070F"/>
    <w:rsid w:val="00D85BCE"/>
    <w:rsid w:val="00D97B00"/>
    <w:rsid w:val="00DB5730"/>
    <w:rsid w:val="00DD55EA"/>
    <w:rsid w:val="00DE6124"/>
    <w:rsid w:val="00DF4966"/>
    <w:rsid w:val="00E01AF3"/>
    <w:rsid w:val="00E029FB"/>
    <w:rsid w:val="00E27ECB"/>
    <w:rsid w:val="00E3036D"/>
    <w:rsid w:val="00E41121"/>
    <w:rsid w:val="00E503EE"/>
    <w:rsid w:val="00E5087D"/>
    <w:rsid w:val="00E57C88"/>
    <w:rsid w:val="00E615C1"/>
    <w:rsid w:val="00E67929"/>
    <w:rsid w:val="00E97A8E"/>
    <w:rsid w:val="00EA3592"/>
    <w:rsid w:val="00EC3A72"/>
    <w:rsid w:val="00EC6BE8"/>
    <w:rsid w:val="00ED1667"/>
    <w:rsid w:val="00ED7844"/>
    <w:rsid w:val="00EE49D5"/>
    <w:rsid w:val="00F1205D"/>
    <w:rsid w:val="00F157DA"/>
    <w:rsid w:val="00F23123"/>
    <w:rsid w:val="00F25A59"/>
    <w:rsid w:val="00F27AC5"/>
    <w:rsid w:val="00F313F1"/>
    <w:rsid w:val="00F46783"/>
    <w:rsid w:val="00F541E9"/>
    <w:rsid w:val="00F66E75"/>
    <w:rsid w:val="00F940FF"/>
    <w:rsid w:val="00F9748D"/>
    <w:rsid w:val="00FD52F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35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651BF"/>
    <w:pPr>
      <w:ind w:left="720"/>
      <w:contextualSpacing/>
    </w:pPr>
    <w:rPr>
      <w:rFonts w:eastAsiaTheme="minorHAnsi"/>
      <w:lang w:eastAsia="en-US"/>
    </w:rPr>
  </w:style>
  <w:style w:type="paragraph" w:styleId="NormalWeb">
    <w:name w:val="Normal (Web)"/>
    <w:basedOn w:val="Normal"/>
    <w:uiPriority w:val="99"/>
    <w:unhideWhenUsed/>
    <w:rsid w:val="008F44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E27ECB"/>
  </w:style>
  <w:style w:type="paragraph" w:styleId="Encabezado">
    <w:name w:val="header"/>
    <w:basedOn w:val="Normal"/>
    <w:link w:val="EncabezadoCar"/>
    <w:uiPriority w:val="99"/>
    <w:unhideWhenUsed/>
    <w:rsid w:val="00E01AF3"/>
    <w:pPr>
      <w:tabs>
        <w:tab w:val="center" w:pos="4419"/>
        <w:tab w:val="right" w:pos="8838"/>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E01AF3"/>
    <w:rPr>
      <w:rFonts w:eastAsiaTheme="minorHAnsi"/>
      <w:lang w:eastAsia="en-US"/>
    </w:rPr>
  </w:style>
  <w:style w:type="character" w:styleId="Hipervnculo">
    <w:name w:val="Hyperlink"/>
    <w:uiPriority w:val="99"/>
    <w:semiHidden/>
    <w:unhideWhenUsed/>
    <w:rsid w:val="00E97A8E"/>
    <w:rPr>
      <w:color w:val="0563C1"/>
      <w:u w:val="single"/>
    </w:rPr>
  </w:style>
  <w:style w:type="paragraph" w:styleId="Textonotapie">
    <w:name w:val="footnote text"/>
    <w:basedOn w:val="Normal"/>
    <w:link w:val="TextonotapieCar"/>
    <w:uiPriority w:val="99"/>
    <w:semiHidden/>
    <w:unhideWhenUsed/>
    <w:rsid w:val="00E97A8E"/>
    <w:pPr>
      <w:spacing w:after="0" w:line="240" w:lineRule="auto"/>
    </w:pPr>
    <w:rPr>
      <w:rFonts w:ascii="Calibri" w:eastAsia="Calibri" w:hAnsi="Calibri" w:cs="Times New Roman"/>
      <w:sz w:val="20"/>
      <w:szCs w:val="20"/>
      <w:lang w:eastAsia="en-US"/>
    </w:rPr>
  </w:style>
  <w:style w:type="character" w:customStyle="1" w:styleId="TextonotapieCar">
    <w:name w:val="Texto nota pie Car"/>
    <w:basedOn w:val="Fuentedeprrafopredeter"/>
    <w:link w:val="Textonotapie"/>
    <w:uiPriority w:val="99"/>
    <w:semiHidden/>
    <w:rsid w:val="00E97A8E"/>
    <w:rPr>
      <w:rFonts w:ascii="Calibri" w:eastAsia="Calibri" w:hAnsi="Calibri" w:cs="Times New Roman"/>
      <w:sz w:val="20"/>
      <w:szCs w:val="20"/>
      <w:lang w:eastAsia="en-US"/>
    </w:rPr>
  </w:style>
  <w:style w:type="character" w:styleId="Refdenotaalpie">
    <w:name w:val="footnote reference"/>
    <w:uiPriority w:val="99"/>
    <w:semiHidden/>
    <w:unhideWhenUsed/>
    <w:rsid w:val="00E97A8E"/>
    <w:rPr>
      <w:vertAlign w:val="superscript"/>
    </w:rPr>
  </w:style>
  <w:style w:type="paragraph" w:styleId="Textonotaalfinal">
    <w:name w:val="endnote text"/>
    <w:basedOn w:val="Normal"/>
    <w:link w:val="TextonotaalfinalCar"/>
    <w:uiPriority w:val="99"/>
    <w:semiHidden/>
    <w:unhideWhenUsed/>
    <w:rsid w:val="00D53CC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53CCA"/>
    <w:rPr>
      <w:sz w:val="20"/>
      <w:szCs w:val="20"/>
    </w:rPr>
  </w:style>
  <w:style w:type="character" w:styleId="Refdenotaalfinal">
    <w:name w:val="endnote reference"/>
    <w:basedOn w:val="Fuentedeprrafopredeter"/>
    <w:uiPriority w:val="99"/>
    <w:semiHidden/>
    <w:unhideWhenUsed/>
    <w:rsid w:val="00D53CCA"/>
    <w:rPr>
      <w:vertAlign w:val="superscript"/>
    </w:rPr>
  </w:style>
  <w:style w:type="character" w:styleId="Textoennegrita">
    <w:name w:val="Strong"/>
    <w:basedOn w:val="Fuentedeprrafopredeter"/>
    <w:uiPriority w:val="22"/>
    <w:qFormat/>
    <w:rsid w:val="00F231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651BF"/>
    <w:pPr>
      <w:ind w:left="720"/>
      <w:contextualSpacing/>
    </w:pPr>
    <w:rPr>
      <w:rFonts w:eastAsiaTheme="minorHAnsi"/>
      <w:lang w:eastAsia="en-US"/>
    </w:rPr>
  </w:style>
  <w:style w:type="paragraph" w:styleId="NormalWeb">
    <w:name w:val="Normal (Web)"/>
    <w:basedOn w:val="Normal"/>
    <w:uiPriority w:val="99"/>
    <w:unhideWhenUsed/>
    <w:rsid w:val="008F44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E27ECB"/>
  </w:style>
  <w:style w:type="paragraph" w:styleId="Encabezado">
    <w:name w:val="header"/>
    <w:basedOn w:val="Normal"/>
    <w:link w:val="EncabezadoCar"/>
    <w:uiPriority w:val="99"/>
    <w:unhideWhenUsed/>
    <w:rsid w:val="00E01AF3"/>
    <w:pPr>
      <w:tabs>
        <w:tab w:val="center" w:pos="4419"/>
        <w:tab w:val="right" w:pos="8838"/>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E01AF3"/>
    <w:rPr>
      <w:rFonts w:eastAsiaTheme="minorHAnsi"/>
      <w:lang w:eastAsia="en-US"/>
    </w:rPr>
  </w:style>
  <w:style w:type="character" w:styleId="Hipervnculo">
    <w:name w:val="Hyperlink"/>
    <w:uiPriority w:val="99"/>
    <w:semiHidden/>
    <w:unhideWhenUsed/>
    <w:rsid w:val="00E97A8E"/>
    <w:rPr>
      <w:color w:val="0563C1"/>
      <w:u w:val="single"/>
    </w:rPr>
  </w:style>
  <w:style w:type="paragraph" w:styleId="Textonotapie">
    <w:name w:val="footnote text"/>
    <w:basedOn w:val="Normal"/>
    <w:link w:val="TextonotapieCar"/>
    <w:uiPriority w:val="99"/>
    <w:semiHidden/>
    <w:unhideWhenUsed/>
    <w:rsid w:val="00E97A8E"/>
    <w:pPr>
      <w:spacing w:after="0" w:line="240" w:lineRule="auto"/>
    </w:pPr>
    <w:rPr>
      <w:rFonts w:ascii="Calibri" w:eastAsia="Calibri" w:hAnsi="Calibri" w:cs="Times New Roman"/>
      <w:sz w:val="20"/>
      <w:szCs w:val="20"/>
      <w:lang w:eastAsia="en-US"/>
    </w:rPr>
  </w:style>
  <w:style w:type="character" w:customStyle="1" w:styleId="TextonotapieCar">
    <w:name w:val="Texto nota pie Car"/>
    <w:basedOn w:val="Fuentedeprrafopredeter"/>
    <w:link w:val="Textonotapie"/>
    <w:uiPriority w:val="99"/>
    <w:semiHidden/>
    <w:rsid w:val="00E97A8E"/>
    <w:rPr>
      <w:rFonts w:ascii="Calibri" w:eastAsia="Calibri" w:hAnsi="Calibri" w:cs="Times New Roman"/>
      <w:sz w:val="20"/>
      <w:szCs w:val="20"/>
      <w:lang w:eastAsia="en-US"/>
    </w:rPr>
  </w:style>
  <w:style w:type="character" w:styleId="Refdenotaalpie">
    <w:name w:val="footnote reference"/>
    <w:uiPriority w:val="99"/>
    <w:semiHidden/>
    <w:unhideWhenUsed/>
    <w:rsid w:val="00E97A8E"/>
    <w:rPr>
      <w:vertAlign w:val="superscript"/>
    </w:rPr>
  </w:style>
  <w:style w:type="paragraph" w:styleId="Textonotaalfinal">
    <w:name w:val="endnote text"/>
    <w:basedOn w:val="Normal"/>
    <w:link w:val="TextonotaalfinalCar"/>
    <w:uiPriority w:val="99"/>
    <w:semiHidden/>
    <w:unhideWhenUsed/>
    <w:rsid w:val="00D53CC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53CCA"/>
    <w:rPr>
      <w:sz w:val="20"/>
      <w:szCs w:val="20"/>
    </w:rPr>
  </w:style>
  <w:style w:type="character" w:styleId="Refdenotaalfinal">
    <w:name w:val="endnote reference"/>
    <w:basedOn w:val="Fuentedeprrafopredeter"/>
    <w:uiPriority w:val="99"/>
    <w:semiHidden/>
    <w:unhideWhenUsed/>
    <w:rsid w:val="00D53CCA"/>
    <w:rPr>
      <w:vertAlign w:val="superscript"/>
    </w:rPr>
  </w:style>
  <w:style w:type="character" w:styleId="Textoennegrita">
    <w:name w:val="Strong"/>
    <w:basedOn w:val="Fuentedeprrafopredeter"/>
    <w:uiPriority w:val="22"/>
    <w:qFormat/>
    <w:rsid w:val="00F23123"/>
    <w:rPr>
      <w:b/>
      <w:bCs/>
    </w:rPr>
  </w:style>
</w:styles>
</file>

<file path=word/webSettings.xml><?xml version="1.0" encoding="utf-8"?>
<w:webSettings xmlns:r="http://schemas.openxmlformats.org/officeDocument/2006/relationships" xmlns:w="http://schemas.openxmlformats.org/wordprocessingml/2006/main">
  <w:divs>
    <w:div w:id="7145241">
      <w:bodyDiv w:val="1"/>
      <w:marLeft w:val="0"/>
      <w:marRight w:val="0"/>
      <w:marTop w:val="0"/>
      <w:marBottom w:val="0"/>
      <w:divBdr>
        <w:top w:val="none" w:sz="0" w:space="0" w:color="auto"/>
        <w:left w:val="none" w:sz="0" w:space="0" w:color="auto"/>
        <w:bottom w:val="none" w:sz="0" w:space="0" w:color="auto"/>
        <w:right w:val="none" w:sz="0" w:space="0" w:color="auto"/>
      </w:divBdr>
    </w:div>
    <w:div w:id="708337826">
      <w:bodyDiv w:val="1"/>
      <w:marLeft w:val="0"/>
      <w:marRight w:val="0"/>
      <w:marTop w:val="0"/>
      <w:marBottom w:val="0"/>
      <w:divBdr>
        <w:top w:val="none" w:sz="0" w:space="0" w:color="auto"/>
        <w:left w:val="none" w:sz="0" w:space="0" w:color="auto"/>
        <w:bottom w:val="none" w:sz="0" w:space="0" w:color="auto"/>
        <w:right w:val="none" w:sz="0" w:space="0" w:color="auto"/>
      </w:divBdr>
    </w:div>
    <w:div w:id="873270113">
      <w:bodyDiv w:val="1"/>
      <w:marLeft w:val="0"/>
      <w:marRight w:val="0"/>
      <w:marTop w:val="0"/>
      <w:marBottom w:val="0"/>
      <w:divBdr>
        <w:top w:val="none" w:sz="0" w:space="0" w:color="auto"/>
        <w:left w:val="none" w:sz="0" w:space="0" w:color="auto"/>
        <w:bottom w:val="none" w:sz="0" w:space="0" w:color="auto"/>
        <w:right w:val="none" w:sz="0" w:space="0" w:color="auto"/>
      </w:divBdr>
    </w:div>
    <w:div w:id="1500120464">
      <w:bodyDiv w:val="1"/>
      <w:marLeft w:val="0"/>
      <w:marRight w:val="0"/>
      <w:marTop w:val="0"/>
      <w:marBottom w:val="0"/>
      <w:divBdr>
        <w:top w:val="none" w:sz="0" w:space="0" w:color="auto"/>
        <w:left w:val="none" w:sz="0" w:space="0" w:color="auto"/>
        <w:bottom w:val="none" w:sz="0" w:space="0" w:color="auto"/>
        <w:right w:val="none" w:sz="0" w:space="0" w:color="auto"/>
      </w:divBdr>
    </w:div>
    <w:div w:id="1632712245">
      <w:bodyDiv w:val="1"/>
      <w:marLeft w:val="0"/>
      <w:marRight w:val="0"/>
      <w:marTop w:val="0"/>
      <w:marBottom w:val="0"/>
      <w:divBdr>
        <w:top w:val="none" w:sz="0" w:space="0" w:color="auto"/>
        <w:left w:val="none" w:sz="0" w:space="0" w:color="auto"/>
        <w:bottom w:val="none" w:sz="0" w:space="0" w:color="auto"/>
        <w:right w:val="none" w:sz="0" w:space="0" w:color="auto"/>
      </w:divBdr>
    </w:div>
    <w:div w:id="200181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1791C-E6F2-423C-BBFB-130FE3544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1244</Words>
  <Characters>6846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8074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Maritn</dc:creator>
  <cp:lastModifiedBy>pc</cp:lastModifiedBy>
  <cp:revision>2</cp:revision>
  <dcterms:created xsi:type="dcterms:W3CDTF">2019-11-18T18:40:00Z</dcterms:created>
  <dcterms:modified xsi:type="dcterms:W3CDTF">2019-11-18T18:40:00Z</dcterms:modified>
</cp:coreProperties>
</file>